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853a5edb04f2f" /><Relationship Type="http://schemas.openxmlformats.org/officeDocument/2006/relationships/extended-properties" Target="/docProps/app.xml" Id="R4cd273d8682849a8" /><Relationship Type="http://schemas.openxmlformats.org/package/2006/relationships/metadata/core-properties" Target="/docProps/core.xml" Id="Rfc63cf2550b44564" /><Relationship Type="http://schemas.openxmlformats.org/officeDocument/2006/relationships/custom-properties" Target="/docProps/custom.xml" Id="Rac959740dd1d40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93.70079" w:right="446.4" w:bottom="820.8" w:left="491.4362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628.34648"/>
        <w:gridCol w:w="144.00002"/>
        <w:gridCol w:w="3628.34648"/>
        <w:gridCol w:w="144.00002"/>
        <w:gridCol w:w="3628.34648"/>
      </w:tblGrid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</w:tr>
    </w:tbl>
    <w:p>
      <w:pPr>
        <w:spacing w:after="0" w:line="20" w:lineRule="exact"/>
      </w:pPr>
      <w:r/>
      <w:r>
        <w:pict>
          <v:roundrect style="position:absolute;margin-left:18.31181pt;margin-top:39.7850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39.7850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39.7850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108.66693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108.66693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108.66693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177.5488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177.5488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177.5488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246.4307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246.4307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246.4307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315.3126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315.3126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315.3126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384.19449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384.19449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384.19449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453.076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453.076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453.076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521.95828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521.95828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521.95828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590.84017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590.84017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590.84017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659.72205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659.72205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659.72205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728.6039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728.6039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728.6039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340672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598f7bbce644228" /><Relationship Type="http://schemas.openxmlformats.org/officeDocument/2006/relationships/styles" Target="/word/styles.xml" Id="R0333fc552c164d21" /><Relationship Type="http://schemas.openxmlformats.org/officeDocument/2006/relationships/settings" Target="/word/settings.xml" Id="R983dab02776a47b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A-0378-01</vt:lpwstr>
  </property>
</Properties>
</file>