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1ba1af8d74da7" /><Relationship Type="http://schemas.openxmlformats.org/officeDocument/2006/relationships/extended-properties" Target="/docProps/app.xml" Id="R477d0c651a314344" /><Relationship Type="http://schemas.openxmlformats.org/package/2006/relationships/metadata/core-properties" Target="/docProps/core.xml" Id="R0c9b6061f95345bd" /><Relationship Type="http://schemas.openxmlformats.org/officeDocument/2006/relationships/custom-properties" Target="/docProps/custom.xml" Id="Rdadc68b7a6df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9.37008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288.189"/>
        <w:gridCol w:w="654.23622"/>
        <w:gridCol w:w="3288.189"/>
        <w:gridCol w:w="654.23622"/>
        <w:gridCol w:w="3288.189"/>
      </w:tblGrid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516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733b83b2d2d450d" /><Relationship Type="http://schemas.openxmlformats.org/officeDocument/2006/relationships/styles" Target="/word/styles.xml" Id="R09912ba9634b442e" /><Relationship Type="http://schemas.openxmlformats.org/officeDocument/2006/relationships/settings" Target="/word/settings.xml" Id="Rf19181bcc608415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A-0381-01</vt:lpwstr>
  </property>
</Properties>
</file>